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644B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3</w:t>
      </w:r>
      <w:r>
        <w:rPr>
          <w:rFonts w:ascii="Times New Roman" w:hAnsi="Times New Roman" w:cs="Times New Roman"/>
          <w:b/>
          <w:bCs/>
          <w:sz w:val="22"/>
          <w:lang w:val="en-US" w:eastAsia="zh-CN"/>
        </w:rPr>
        <w:tab/>
      </w:r>
      <w:r>
        <w:rPr>
          <w:rFonts w:ascii="Times New Roman" w:hAnsi="Times New Roman" w:cs="Times New Roman"/>
          <w:b/>
          <w:bCs/>
          <w:sz w:val="22"/>
          <w:lang w:val="en-US" w:eastAsia="zh-CN"/>
        </w:rPr>
        <w:tab/>
      </w:r>
      <w:r>
        <w:rPr>
          <w:rFonts w:hint="eastAsia" w:ascii="Times New Roman" w:hAnsi="Times New Roman" w:cs="Times New Roman"/>
          <w:b/>
          <w:bCs/>
          <w:sz w:val="22"/>
          <w:lang w:val="en-US" w:eastAsia="zh-CN"/>
        </w:rPr>
        <w:t xml:space="preserve">                                    R2-2600723</w:t>
      </w:r>
    </w:p>
    <w:p w14:paraId="6F4BE900">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b/>
          <w:bCs/>
          <w:sz w:val="22"/>
          <w:lang w:val="en-US" w:eastAsia="zh-CN"/>
        </w:rPr>
      </w:pPr>
      <w:r>
        <w:rPr>
          <w:rFonts w:ascii="Times New Roman" w:hAnsi="Times New Roman" w:cs="Times New Roman"/>
          <w:b/>
          <w:bCs/>
          <w:sz w:val="22"/>
          <w:lang w:val="en-US" w:eastAsia="zh-CN"/>
        </w:rPr>
        <w:t>Gothenburg, Sweden, Feb. 09th – 13th</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multicarrier for 6GR</w:t>
      </w:r>
    </w:p>
    <w:p w14:paraId="000A57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10</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2.5</w:t>
      </w:r>
    </w:p>
    <w:p w14:paraId="3BAEA0BF">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eastAsiaTheme="minorEastAsia"/>
          <w:b w:val="0"/>
          <w:bCs/>
          <w:kern w:val="2"/>
          <w:sz w:val="21"/>
          <w:szCs w:val="22"/>
          <w:lang w:val="en-US" w:eastAsia="zh-CN" w:bidi="ar-SA"/>
        </w:rPr>
      </w:pPr>
      <w:bookmarkStart w:id="0" w:name="_Toc54284460"/>
      <w:r>
        <w:rPr>
          <w:rFonts w:hint="default" w:ascii="Times New Roman" w:hAnsi="Times New Roman" w:cs="Times New Roman" w:eastAsiaTheme="minorEastAsia"/>
          <w:b w:val="0"/>
          <w:bCs/>
          <w:kern w:val="2"/>
          <w:sz w:val="21"/>
          <w:szCs w:val="22"/>
          <w:lang w:val="en-US" w:eastAsia="zh-CN" w:bidi="ar-SA"/>
        </w:rPr>
        <w:t>At the 3GPP RAN2 #131bis and #132 meetings, the following agreements were recorded regarding spectrum aggregation for 6G (6GR)</w:t>
      </w:r>
      <w:r>
        <w:rPr>
          <w:rFonts w:hint="eastAsia" w:ascii="Times New Roman" w:hAnsi="Times New Roman" w:cs="Times New Roman"/>
          <w:b w:val="0"/>
          <w:bCs/>
          <w:kern w:val="2"/>
          <w:sz w:val="21"/>
          <w:szCs w:val="22"/>
          <w:lang w:val="en-US" w:eastAsia="zh-CN" w:bidi="ar-SA"/>
        </w:rPr>
        <w:t>:</w:t>
      </w:r>
    </w:p>
    <w:p w14:paraId="0F884069">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ascii="Times New Roman" w:hAnsi="Times New Roman" w:cs="Times New Roman" w:eastAsiaTheme="minorEastAsia"/>
          <w:b/>
          <w:bCs/>
          <w:lang w:val="en-US" w:eastAsia="zh-CN"/>
        </w:rPr>
      </w:pPr>
      <w:r>
        <w:rPr>
          <w:rFonts w:hint="default" w:ascii="Times New Roman" w:hAnsi="Times New Roman" w:cs="Times New Roman"/>
          <w:b/>
          <w:bCs/>
        </w:rPr>
        <w:t>Agreements on Spectrum aggregation</w:t>
      </w:r>
      <w:r>
        <w:rPr>
          <w:rFonts w:hint="eastAsia" w:ascii="Times New Roman" w:hAnsi="Times New Roman" w:cs="Times New Roman"/>
          <w:b/>
          <w:bCs/>
          <w:lang w:val="en-US" w:eastAsia="zh-CN"/>
        </w:rPr>
        <w:t xml:space="preserve"> in RAN2 #131bis</w:t>
      </w:r>
    </w:p>
    <w:p w14:paraId="5AD67904">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 xml:space="preserve">Study spectrum aggregation of multiple pieces of spectrum and understand the issues that need to be addressed.     </w:t>
      </w:r>
    </w:p>
    <w:p w14:paraId="49A33BB1">
      <w:pPr>
        <w:pStyle w:val="58"/>
        <w:keepNext w:val="0"/>
        <w:keepLines w:val="0"/>
        <w:pageBreakBefore w:val="0"/>
        <w:widowControl w:val="0"/>
        <w:numPr>
          <w:ilvl w:val="0"/>
          <w:numId w:val="0"/>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ascii="Times New Roman" w:hAnsi="Times New Roman" w:cs="Times New Roman"/>
          <w:b w:val="0"/>
          <w:bCs/>
        </w:rPr>
      </w:pPr>
      <w:r>
        <w:rPr>
          <w:rFonts w:hint="default" w:ascii="Times New Roman" w:hAnsi="Times New Roman" w:cs="Times New Roman"/>
          <w:b w:val="0"/>
          <w:bCs/>
        </w:rPr>
        <w:t>2</w:t>
      </w:r>
      <w:r>
        <w:rPr>
          <w:rFonts w:hint="default" w:ascii="Times New Roman" w:hAnsi="Times New Roman" w:cs="Times New Roman"/>
          <w:b w:val="0"/>
          <w:bCs/>
        </w:rPr>
        <w:tab/>
      </w:r>
      <w:r>
        <w:rPr>
          <w:rFonts w:hint="default" w:ascii="Times New Roman" w:hAnsi="Times New Roman" w:cs="Times New Roman"/>
          <w:b w:val="0"/>
          <w:bCs/>
        </w:rPr>
        <w:t xml:space="preserve">Study how to use UL and DL spectrum more efficiently (e.g. decoupling of UL and DL, etc).  Understand the deployment scenarios and problems to address </w:t>
      </w:r>
    </w:p>
    <w:p w14:paraId="07D16EBD">
      <w:pPr>
        <w:pStyle w:val="31"/>
        <w:rPr>
          <w:rFonts w:hint="default"/>
        </w:rPr>
      </w:pPr>
    </w:p>
    <w:p w14:paraId="2D17E5FC">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rFonts w:hint="default"/>
        </w:rPr>
      </w:pPr>
      <w:r>
        <w:rPr>
          <w:rFonts w:hint="default" w:ascii="Times New Roman" w:hAnsi="Times New Roman" w:cs="Times New Roman"/>
          <w:b/>
          <w:bCs w:val="0"/>
        </w:rPr>
        <w:t xml:space="preserve">Agreements on multicarrier </w:t>
      </w:r>
      <w:r>
        <w:rPr>
          <w:rFonts w:hint="eastAsia" w:ascii="Times New Roman" w:hAnsi="Times New Roman" w:cs="Times New Roman"/>
          <w:b/>
          <w:bCs/>
          <w:lang w:val="en-US" w:eastAsia="zh-CN"/>
        </w:rPr>
        <w:t>in RAN2 #132</w:t>
      </w:r>
    </w:p>
    <w:p w14:paraId="2B3AD198">
      <w:pPr>
        <w:pStyle w:val="58"/>
        <w:keepNext w:val="0"/>
        <w:keepLines w:val="0"/>
        <w:pageBreakBefore w:val="0"/>
        <w:widowControl w:val="0"/>
        <w:numPr>
          <w:ilvl w:val="0"/>
          <w:numId w:val="4"/>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ascii="Times New Roman" w:hAnsi="Times New Roman" w:cs="Times New Roman"/>
          <w:b w:val="0"/>
          <w:bCs/>
        </w:rPr>
      </w:pPr>
      <w:r>
        <w:rPr>
          <w:rFonts w:hint="eastAsia" w:ascii="Times New Roman" w:hAnsi="Times New Roman" w:cs="Times New Roman"/>
          <w:b w:val="0"/>
          <w:bCs/>
          <w:lang w:val="en-US" w:eastAsia="zh-CN"/>
        </w:rPr>
        <w:t xml:space="preserve"> </w:t>
      </w:r>
      <w:r>
        <w:rPr>
          <w:rFonts w:hint="default" w:ascii="Times New Roman" w:hAnsi="Times New Roman" w:cs="Times New Roman"/>
          <w:b w:val="0"/>
          <w:bCs/>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28884F31">
      <w:pPr>
        <w:pStyle w:val="58"/>
        <w:keepNext w:val="0"/>
        <w:keepLines w:val="0"/>
        <w:pageBreakBefore w:val="0"/>
        <w:widowControl w:val="0"/>
        <w:numPr>
          <w:ilvl w:val="0"/>
          <w:numId w:val="4"/>
        </w:numPr>
        <w:pBdr>
          <w:top w:val="single" w:color="auto" w:sz="4" w:space="1"/>
          <w:left w:val="single" w:color="auto" w:sz="4" w:space="4"/>
          <w:bottom w:val="single" w:color="auto" w:sz="4" w:space="1"/>
          <w:right w:val="single" w:color="auto" w:sz="4" w:space="4"/>
        </w:pBdr>
        <w:tabs>
          <w:tab w:val="left" w:pos="2039"/>
          <w:tab w:val="clear" w:pos="1619"/>
        </w:tabs>
        <w:kinsoku/>
        <w:wordWrap/>
        <w:overflowPunct/>
        <w:topLinePunct w:val="0"/>
        <w:autoSpaceDE/>
        <w:autoSpaceDN/>
        <w:bidi w:val="0"/>
        <w:adjustRightInd/>
        <w:snapToGrid/>
        <w:spacing w:line="288" w:lineRule="auto"/>
        <w:ind w:left="425" w:leftChars="0" w:hanging="363" w:firstLineChars="0"/>
        <w:textAlignment w:val="auto"/>
        <w:rPr>
          <w:rFonts w:hint="default"/>
        </w:rPr>
      </w:pPr>
      <w:r>
        <w:rPr>
          <w:rFonts w:hint="eastAsia" w:ascii="Times New Roman" w:hAnsi="Times New Roman" w:cs="Times New Roman"/>
          <w:b w:val="0"/>
          <w:bCs/>
          <w:lang w:val="en-US" w:eastAsia="zh-CN"/>
        </w:rPr>
        <w:t xml:space="preserve"> </w:t>
      </w:r>
      <w:r>
        <w:rPr>
          <w:rFonts w:hint="default" w:ascii="Times New Roman" w:hAnsi="Times New Roman" w:cs="Times New Roman"/>
          <w:b w:val="0"/>
          <w:bCs/>
        </w:rPr>
        <w:t xml:space="preserve">Discussion on modelling of cell is FFS and also depends on RAN1/RAN4 progress.   Discussions on this will not happen next meeting.  </w:t>
      </w:r>
    </w:p>
    <w:p w14:paraId="1B9751F7">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eastAsiaTheme="minorEastAsia"/>
          <w:b w:val="0"/>
          <w:bCs/>
          <w:kern w:val="2"/>
          <w:sz w:val="21"/>
          <w:szCs w:val="22"/>
          <w:lang w:val="en-US" w:eastAsia="zh-CN" w:bidi="ar-SA"/>
        </w:rPr>
      </w:pPr>
      <w:r>
        <w:rPr>
          <w:rFonts w:hint="default" w:ascii="Times New Roman" w:hAnsi="Times New Roman" w:cs="Times New Roman" w:eastAsiaTheme="minorEastAsia"/>
          <w:b w:val="0"/>
          <w:bCs/>
          <w:kern w:val="2"/>
          <w:sz w:val="21"/>
          <w:szCs w:val="22"/>
          <w:lang w:val="en-US" w:eastAsia="zh-CN" w:bidi="ar-SA"/>
        </w:rPr>
        <w:t xml:space="preserve">This contribution focuses on spectrum aggregation and multicarrier operation for 6GR in both RRC Idle mode and RRC Connected mode. </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Multicarrier for RRC idle mode</w:t>
      </w:r>
    </w:p>
    <w:p w14:paraId="07D18DD1">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rPr>
      </w:pPr>
      <w:r>
        <w:rPr>
          <w:rFonts w:hint="default" w:ascii="Times New Roman" w:hAnsi="Times New Roman" w:cs="Times New Roman"/>
          <w:b w:val="0"/>
          <w:bCs w:val="0"/>
        </w:rPr>
        <w:t>In current 5G NR networks, a typical cell consists of one downlink carrier paired with one uplink carrier in a given band to provide service. In areas where multiple cells (carriers) have overlapping coverage, several inefficiencies have been observed for UEs in RRC Idle mode based on commercial deployment experience:</w:t>
      </w:r>
    </w:p>
    <w:p w14:paraId="4C9912D7">
      <w:pPr>
        <w:pStyle w:val="61"/>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Redundant broadcasts:</w:t>
      </w:r>
      <w:r>
        <w:rPr>
          <w:rFonts w:hint="default" w:ascii="Times New Roman" w:hAnsi="Times New Roman" w:cs="Times New Roman"/>
        </w:rPr>
        <w:t xml:space="preserve"> Each cell must transmit its own set of common signals and system information. This duplication across overlapping cells is not energy-efficient for the network.</w:t>
      </w:r>
    </w:p>
    <w:p w14:paraId="44266DD9">
      <w:pPr>
        <w:pStyle w:val="61"/>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Paging overhead:</w:t>
      </w:r>
      <w:r>
        <w:rPr>
          <w:rFonts w:hint="default" w:ascii="Times New Roman" w:hAnsi="Times New Roman" w:cs="Times New Roman"/>
        </w:rPr>
        <w:t xml:space="preserve"> A UE simply camps on the cell with the best signal quality. The network, unaware of the UE’s precise camping cell in a multi-cell area, may have to broadcast paging messages in all overlapping cells to reach that UE, leading to large paging overhead.</w:t>
      </w:r>
    </w:p>
    <w:p w14:paraId="70D30AB9">
      <w:pPr>
        <w:pStyle w:val="61"/>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No access load balancing:</w:t>
      </w:r>
      <w:r>
        <w:rPr>
          <w:rFonts w:hint="default" w:ascii="Times New Roman" w:hAnsi="Times New Roman" w:cs="Times New Roman"/>
        </w:rPr>
        <w:t xml:space="preserve"> A UE can only perform random access on its serving (camped) cell. This prevents balancing of random access channel (RACH) load across multiple cells – all UEs attempt access on the anchor cell even if neighboring cells have free capacity.</w:t>
      </w:r>
    </w:p>
    <w:p w14:paraId="0A3A1FE7">
      <w:pPr>
        <w:pStyle w:val="61"/>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ind w:left="726" w:hanging="363"/>
        <w:textAlignment w:val="auto"/>
        <w:rPr>
          <w:rFonts w:hint="default" w:ascii="Times New Roman" w:hAnsi="Times New Roman" w:cs="Times New Roman"/>
        </w:rPr>
      </w:pPr>
      <w:r>
        <w:rPr>
          <w:rFonts w:hint="default" w:ascii="Times New Roman" w:hAnsi="Times New Roman" w:cs="Times New Roman"/>
          <w:b/>
          <w:bCs/>
        </w:rPr>
        <w:t>Complex cell selection:</w:t>
      </w:r>
      <w:r>
        <w:rPr>
          <w:rFonts w:hint="default" w:ascii="Times New Roman" w:hAnsi="Times New Roman" w:cs="Times New Roman"/>
        </w:rPr>
        <w:t xml:space="preserve"> Because multiple cells are simultaneously present, the UE’s cell selection and measurement procedures become more complex (the UE must measure and evaluate many cells to decide where to camp).</w:t>
      </w:r>
    </w:p>
    <w:p w14:paraId="3A52CEA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lang w:val="en-US" w:eastAsia="zh-CN"/>
        </w:rPr>
      </w:pPr>
      <w:r>
        <w:rPr>
          <w:rFonts w:hint="default" w:ascii="Times New Roman" w:hAnsi="Times New Roman" w:cs="Times New Roman"/>
        </w:rPr>
        <w:t xml:space="preserve">To address the above issues, </w:t>
      </w:r>
      <w:r>
        <w:rPr>
          <w:rFonts w:hint="eastAsia" w:ascii="Times New Roman" w:hAnsi="Times New Roman" w:cs="Times New Roman"/>
          <w:lang w:val="en-US" w:eastAsia="zh-CN"/>
        </w:rPr>
        <w:t xml:space="preserve">based on the prior studies and agreements, </w:t>
      </w:r>
      <w:r>
        <w:rPr>
          <w:rFonts w:hint="default" w:ascii="Times New Roman" w:hAnsi="Times New Roman" w:cs="Times New Roman"/>
        </w:rPr>
        <w:t xml:space="preserve">multicarrier </w:t>
      </w:r>
      <w:r>
        <w:rPr>
          <w:rFonts w:hint="eastAsia" w:ascii="Times New Roman" w:hAnsi="Times New Roman" w:cs="Times New Roman"/>
          <w:lang w:val="en-US" w:eastAsia="zh-CN"/>
        </w:rPr>
        <w:t xml:space="preserve">operation in </w:t>
      </w:r>
      <w:r>
        <w:rPr>
          <w:rFonts w:hint="default" w:ascii="Times New Roman" w:hAnsi="Times New Roman" w:cs="Times New Roman"/>
        </w:rPr>
        <w:t>idle mode</w:t>
      </w:r>
      <w:r>
        <w:rPr>
          <w:rFonts w:hint="default" w:ascii="Times New Roman" w:hAnsi="Times New Roman" w:cs="Times New Roman"/>
        </w:rPr>
        <w:t xml:space="preserve"> with an anchor carrier</w:t>
      </w:r>
      <w:r>
        <w:rPr>
          <w:rFonts w:hint="default" w:ascii="Times New Roman" w:hAnsi="Times New Roman" w:cs="Times New Roman"/>
        </w:rPr>
        <w:t xml:space="preserve"> and multiple secondary carriers</w:t>
      </w:r>
      <w:r>
        <w:rPr>
          <w:rFonts w:hint="eastAsia" w:ascii="Times New Roman" w:hAnsi="Times New Roman" w:cs="Times New Roman"/>
          <w:lang w:val="en-US" w:eastAsia="zh-CN"/>
        </w:rPr>
        <w:t xml:space="preserve"> could be further studied</w:t>
      </w:r>
      <w:r>
        <w:rPr>
          <w:rFonts w:hint="default" w:ascii="Times New Roman" w:hAnsi="Times New Roman" w:cs="Times New Roman"/>
        </w:rPr>
        <w:t xml:space="preserve">. The key </w:t>
      </w:r>
      <w:r>
        <w:rPr>
          <w:rFonts w:hint="eastAsia" w:ascii="Times New Roman" w:hAnsi="Times New Roman" w:cs="Times New Roman"/>
          <w:lang w:val="en-US" w:eastAsia="zh-CN"/>
        </w:rPr>
        <w:t xml:space="preserve">functionality </w:t>
      </w:r>
      <w:r>
        <w:rPr>
          <w:rFonts w:hint="default" w:ascii="Times New Roman" w:hAnsi="Times New Roman" w:cs="Times New Roman"/>
        </w:rPr>
        <w:t>of this concept are described below:</w:t>
      </w:r>
    </w:p>
    <w:p w14:paraId="44112438">
      <w:pPr>
        <w:keepNext/>
        <w:keepLines/>
        <w:widowControl/>
        <w:numPr>
          <w:ilvl w:val="2"/>
          <w:numId w:val="7"/>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Common Signals and System Information Broadcasting </w:t>
      </w:r>
    </w:p>
    <w:p w14:paraId="7D25E30F">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The 6G system would designate one carrier as the anchor carrier in a coverage area. Only this anchor carrier transmits the primary common signals (e.g., SS/PBCH block) and system information (e.g., SIB messages). In other words, the fundamental cell-specific broadcasts are consolidated on a single anchor carrier. The system information on the anchor includes configuration details (frequencies, bandwidths, etc.) of all other available carriers (which serve as secondary carriers). By using a single carrier for all broadcasts, the network can significantly reduce redundant transmissions, improving overall energy efficiency.</w:t>
      </w:r>
    </w:p>
    <w:p w14:paraId="48A04C12">
      <w:pPr>
        <w:keepNext/>
        <w:keepLines/>
        <w:widowControl/>
        <w:numPr>
          <w:ilvl w:val="2"/>
          <w:numId w:val="7"/>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b/>
          <w:bCs/>
          <w:kern w:val="0"/>
          <w:sz w:val="24"/>
          <w:szCs w:val="24"/>
          <w:lang w:val="en-US" w:eastAsia="zh-CN" w:bidi="ar-SA"/>
        </w:rPr>
        <w:t>UE Cell Search and Camping</w:t>
      </w:r>
      <w:r>
        <w:rPr>
          <w:rFonts w:hint="eastAsia" w:ascii="Times New Roman" w:hAnsi="Times New Roman" w:eastAsia="宋体" w:cs="Times New Roman"/>
          <w:b/>
          <w:bCs/>
          <w:kern w:val="0"/>
          <w:sz w:val="24"/>
          <w:szCs w:val="24"/>
          <w:lang w:val="en-US" w:eastAsia="zh-CN" w:bidi="ar-SA"/>
        </w:rPr>
        <w:t xml:space="preserve"> </w:t>
      </w:r>
    </w:p>
    <w:p w14:paraId="183E6300">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During cell search in idle mode, a UE only needs to detect and synchronize to the anchor carrier’s signals (since other carriers are not continually broadcasting primary synchronization signals). The UE camps on this anchor carrier and reads the system information. Given that the system information describes other secondary carriers in the area, the UE can then decide the most appropriate carrier on which to remain camped for idle mode. In practice, the UE may either continue camping on the anchor carrier or switch to a specified secondary carrier for idle mode operation, based on guidance/configuration in the system information (for example, the network might designate a particular secondary carrier for that UE or for UEs of certain categories to distribute load). The anchor carrier thus serves as a unified entry point for all UEs, simplifying initial cell selection while still allowing UEs to be distributed across carriers afterward.</w:t>
      </w:r>
    </w:p>
    <w:p w14:paraId="387A4DA2">
      <w:pPr>
        <w:keepNext/>
        <w:keepLines/>
        <w:widowControl/>
        <w:numPr>
          <w:ilvl w:val="2"/>
          <w:numId w:val="7"/>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Multicarrier Paging </w:t>
      </w:r>
    </w:p>
    <w:p w14:paraId="799D1B85">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With the above approach, the network gains knowledge of which carrier each idle UE is listening on for paging (since the UE either stays on the anchor or is instructed via system information to monitor a particular secondary carrier). Multicarrier paging means the gNB can send a paging message for a given UE only on the specific carrier that the UE is camped on. This targeted paging mechanism dramatically reduces paging overhead: the network no longer needs to page on every carrier in the area, and paging capacity can be scaled by utilizing different carriers for different groups of UEs. Each UE monitors paging only on its selected carrier (which could still be the anchor or another carrier as determined). This approach ensures that paging messages reach the UE with minimal wasted transmissions on other carriers, thereby improving paging efficiency and reducing signaling load in the network.</w:t>
      </w:r>
    </w:p>
    <w:p w14:paraId="1BDA1A91">
      <w:pPr>
        <w:keepNext/>
        <w:keepLines/>
        <w:widowControl/>
        <w:numPr>
          <w:ilvl w:val="2"/>
          <w:numId w:val="7"/>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w:t>
      </w:r>
      <w:r>
        <w:rPr>
          <w:rFonts w:hint="default" w:ascii="Times New Roman" w:hAnsi="Times New Roman" w:eastAsia="宋体" w:cs="Times New Roman"/>
          <w:b/>
          <w:bCs/>
          <w:kern w:val="0"/>
          <w:sz w:val="24"/>
          <w:szCs w:val="24"/>
          <w:lang w:val="en-US" w:eastAsia="zh-CN" w:bidi="ar-SA"/>
        </w:rPr>
        <w:t>Multicarrier Access</w:t>
      </w:r>
      <w:r>
        <w:rPr>
          <w:rFonts w:hint="eastAsia" w:ascii="Times New Roman" w:hAnsi="Times New Roman" w:eastAsia="宋体" w:cs="Times New Roman"/>
          <w:b/>
          <w:bCs/>
          <w:kern w:val="0"/>
          <w:sz w:val="24"/>
          <w:szCs w:val="24"/>
          <w:lang w:val="en-US" w:eastAsia="zh-CN" w:bidi="ar-SA"/>
        </w:rPr>
        <w:t xml:space="preserve"> </w:t>
      </w:r>
    </w:p>
    <w:p w14:paraId="6E593729">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In the proposed idle mode design, a UE is not restricted to initiating the random access procedure on the anchor carrier alone. Instead, based on the configuration in the anchor’s system information, the UE can choose a carrier to perform random access. For instance, if the anchor carrier is congested with many access attempts, the UE might be instructed (or allowed) to use a less loaded secondary carrier to transmit its RACH preamble. This multicarrier random access capability enables load balancing of initial access requests across the available carriers. By distributing random access attempts, the probability of RACH collisions is reduced and access latency can be improved, especially in scenarios with massive device populations. The network can coordinate this by advertising which carriers are available for random access and perhaps even assign different groups of UEs to different carriers for RACH (based on UE identity hash, capability, or location, for example). Overall, this feature improves the system’s capacity to handle many idle UEs attempting to connect, by utilizing all spectrum resources in a coordinated way.</w:t>
      </w:r>
    </w:p>
    <w:p w14:paraId="2A3A4C77">
      <w:pPr>
        <w:spacing w:before="120" w:beforeLines="50" w:after="120" w:afterLines="50" w:line="240" w:lineRule="auto"/>
        <w:rPr>
          <w:rFonts w:hint="default" w:ascii="Times New Roman" w:hAnsi="Times New Roman" w:cs="Times New Roman"/>
          <w:lang w:val="en-US" w:eastAsia="zh-CN"/>
        </w:rPr>
      </w:pPr>
    </w:p>
    <w:p w14:paraId="3B02DB8F">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rPr>
      </w:pPr>
      <w:r>
        <w:rPr>
          <w:rFonts w:hint="eastAsia" w:ascii="Times New Roman" w:hAnsi="Times New Roman" w:cs="Times New Roman"/>
          <w:b/>
          <w:bCs/>
          <w:i/>
          <w:iCs/>
          <w:lang w:val="en-US" w:eastAsia="zh-CN"/>
        </w:rPr>
        <w:t xml:space="preserve">Proposal 1: </w:t>
      </w:r>
      <w:r>
        <w:rPr>
          <w:rFonts w:hint="default" w:ascii="Times New Roman" w:hAnsi="Times New Roman" w:cs="Times New Roman"/>
          <w:b/>
          <w:bCs/>
          <w:i/>
          <w:iCs/>
        </w:rPr>
        <w:t>Support RRC Idle mode multicarrier operation</w:t>
      </w:r>
      <w:r>
        <w:rPr>
          <w:rFonts w:hint="eastAsia" w:ascii="Times New Roman" w:hAnsi="Times New Roman" w:cs="Times New Roman"/>
          <w:b/>
          <w:bCs/>
          <w:i/>
          <w:iCs/>
          <w:lang w:val="en-US" w:eastAsia="zh-CN"/>
        </w:rPr>
        <w:t xml:space="preserve"> with</w:t>
      </w:r>
      <w:r>
        <w:rPr>
          <w:rFonts w:hint="default" w:ascii="Times New Roman" w:hAnsi="Times New Roman" w:cs="Times New Roman"/>
          <w:b/>
          <w:bCs/>
          <w:i/>
          <w:iCs/>
        </w:rPr>
        <w:t xml:space="preserve"> an anchor/secondary carrier framework</w:t>
      </w:r>
      <w:r>
        <w:rPr>
          <w:rFonts w:hint="eastAsia" w:ascii="Times New Roman" w:hAnsi="Times New Roman" w:cs="Times New Roman"/>
          <w:b/>
          <w:bCs/>
          <w:i/>
          <w:iCs/>
          <w:lang w:val="en-US" w:eastAsia="zh-CN"/>
        </w:rPr>
        <w:t xml:space="preserve"> as following</w:t>
      </w:r>
      <w:r>
        <w:rPr>
          <w:rFonts w:hint="default" w:ascii="Times New Roman" w:hAnsi="Times New Roman" w:cs="Times New Roman"/>
          <w:b/>
          <w:bCs/>
          <w:i/>
          <w:iCs/>
        </w:rPr>
        <w:t>:</w:t>
      </w:r>
    </w:p>
    <w:p w14:paraId="7396D6A2">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Only a designated anchor carrier transmits common signals</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rPr>
        <w:t xml:space="preserve">and system information. </w:t>
      </w:r>
    </w:p>
    <w:p w14:paraId="4FA2190D">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UEs perform initial cell search on the anchor carrier and camp on it to receive system information. Based on the received information, a UE may either remain camped on the anchor or switch its idle camping to one of the specified secondary carriers for paging reception.</w:t>
      </w:r>
    </w:p>
    <w:p w14:paraId="0230DC72">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The network sends paging messages to an idle UE on the carrier where that UE is camped</w:t>
      </w:r>
      <w:r>
        <w:rPr>
          <w:rFonts w:hint="eastAsia" w:ascii="Times New Roman" w:hAnsi="Times New Roman" w:cs="Times New Roman"/>
          <w:b/>
          <w:bCs/>
          <w:i/>
          <w:iCs/>
          <w:lang w:val="en-US" w:eastAsia="zh-CN"/>
        </w:rPr>
        <w:t xml:space="preserve"> to</w:t>
      </w:r>
      <w:r>
        <w:rPr>
          <w:rFonts w:hint="default" w:ascii="Times New Roman" w:hAnsi="Times New Roman" w:cs="Times New Roman"/>
          <w:b/>
          <w:bCs/>
          <w:i/>
          <w:iCs/>
        </w:rPr>
        <w:t xml:space="preserve"> reduces paging message overhead across the network.</w:t>
      </w:r>
    </w:p>
    <w:p w14:paraId="177EAF06">
      <w:pPr>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UEs may initiate the random access procedure on a carrier other than the anchor enabling load balancing of RACH attempts across multiple carriers.</w:t>
      </w:r>
    </w:p>
    <w:p w14:paraId="679AF835">
      <w:pPr>
        <w:spacing w:before="120" w:beforeLines="50" w:after="120" w:afterLines="50"/>
        <w:rPr>
          <w:rFonts w:hint="default" w:ascii="Times New Roman" w:hAnsi="Times New Roman" w:cs="Times New Roman"/>
          <w:b/>
          <w:bCs/>
          <w:i/>
          <w:iCs/>
          <w:szCs w:val="21"/>
          <w:lang w:val="en-US" w:eastAsia="zh-CN"/>
        </w:rPr>
      </w:pPr>
    </w:p>
    <w:p w14:paraId="43B91EAE">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Spectrum aggregation for RRC connected mode</w:t>
      </w:r>
    </w:p>
    <w:p w14:paraId="3DC11FC4">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Carrier aggregation has been a key technique in 4G and 5G to increase user throughput by allowing a terminal to utilize multiple carriers simultaneously. For 6G, spectrum aggregation in RRC Connected mode will likewise be crucial to meet peak throughput and capacity requirements. However, simply adopting the 5G NR carrier aggregation (CA) design might not be sufficient. In 5G NR, CA is structured around the concept of a primary cell (PCell) with one or more secondary cells (SCell) added for extra bandwidth, and carrier addition or removal is managed at the cell level with RRC reconfiguration messaging. For 6GR, we foresee the need for enhancements such as more rapid carrier addition/removal, faster activation/deactivation of secondary carriers, and a unified approach that aligns with the multicarrier idle mode concept described above.</w:t>
      </w:r>
    </w:p>
    <w:p w14:paraId="343EF175">
      <w:pPr>
        <w:keepNext/>
        <w:keepLines/>
        <w:widowControl/>
        <w:numPr>
          <w:ilvl w:val="2"/>
          <w:numId w:val="9"/>
        </w:numPr>
        <w:autoSpaceDE w:val="0"/>
        <w:autoSpaceDN w:val="0"/>
        <w:adjustRightInd w:val="0"/>
        <w:snapToGrid w:val="0"/>
        <w:spacing w:before="180" w:after="120" w:line="240" w:lineRule="auto"/>
        <w:ind w:left="900" w:leftChars="0" w:hanging="900" w:firstLineChars="0"/>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Spectrum Aggregation and UE-Specific Primary Carrier</w:t>
      </w:r>
    </w:p>
    <w:p w14:paraId="631B0308">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rPr>
        <w:t>As shown conceptually in Figure 1, a 6G UE in RRC connected mode can aggregate multiple carriers (across possibly different frequency bands or cell sites) to boost its data throughput. We propose that 6GR should support a flexible notion of the primary serving carrier that is UE-specific. This means each UE can be assigned a primary carrier for control signaling and scheduling that is most appropriate for that particular UE, which may not be the same for every UE in the network. This is analogous to the Primary Cell (PCell) in 5G CA, but in today’s networks typically one cell (e.g., the one with the strongest signal or lowest load) might serve as the primary for many UEs. In 6G, with many carriers possibly available, one UE might be anchored on Carrier A as its primary while another UE uses Carrier B as its primary, depending on factors like signal quality, mobility, or load balancing policies.</w:t>
      </w:r>
    </w:p>
    <w:p w14:paraId="69CE4401">
      <w:pPr>
        <w:spacing w:before="120" w:beforeLines="50" w:after="120" w:afterLines="50" w:line="240" w:lineRule="auto"/>
        <w:jc w:val="center"/>
      </w:pPr>
      <w:r>
        <w:object>
          <v:shape id="_x0000_i1025" o:spt="75" alt="" type="#_x0000_t75" style="height:199.95pt;width:390.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1F69B9BA">
      <w:pPr>
        <w:numPr>
          <w:ilvl w:val="0"/>
          <w:numId w:val="0"/>
        </w:numPr>
        <w:spacing w:before="120" w:beforeLines="50" w:after="120" w:afterLines="50" w:line="240" w:lineRule="auto"/>
        <w:ind w:leftChars="0"/>
        <w:jc w:val="center"/>
        <w:rPr>
          <w:rFonts w:hint="default" w:ascii="Times New Roman" w:hAnsi="Times New Roman" w:cs="Times New Roman"/>
          <w:b/>
          <w:bCs/>
          <w:i/>
          <w:iCs/>
          <w:szCs w:val="21"/>
          <w:lang w:val="en-US" w:eastAsia="zh-CN"/>
        </w:rPr>
      </w:pPr>
      <w:r>
        <w:rPr>
          <w:rFonts w:hint="eastAsia" w:ascii="Times New Roman" w:hAnsi="Times New Roman" w:cs="Times New Roman"/>
          <w:lang w:val="en-US" w:eastAsia="zh-CN"/>
        </w:rPr>
        <w:t>Figure 1</w:t>
      </w:r>
    </w:p>
    <w:p w14:paraId="48D5F539">
      <w:pPr>
        <w:keepNext/>
        <w:keepLines/>
        <w:widowControl/>
        <w:numPr>
          <w:ilvl w:val="2"/>
          <w:numId w:val="9"/>
        </w:numPr>
        <w:autoSpaceDE w:val="0"/>
        <w:autoSpaceDN w:val="0"/>
        <w:adjustRightInd w:val="0"/>
        <w:snapToGrid w:val="0"/>
        <w:spacing w:before="180" w:after="120" w:line="240" w:lineRule="auto"/>
        <w:ind w:left="900" w:leftChars="0" w:hanging="900" w:firstLineChars="0"/>
        <w:jc w:val="both"/>
        <w:outlineLvl w:val="2"/>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Early Configuration for Spectrum Aggregation</w:t>
      </w:r>
    </w:p>
    <w:p w14:paraId="5EAF1B52">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rPr>
      </w:pPr>
      <w:r>
        <w:rPr>
          <w:rFonts w:hint="default" w:ascii="Times New Roman" w:hAnsi="Times New Roman" w:cs="Times New Roman"/>
          <w:b w:val="0"/>
          <w:bCs w:val="0"/>
        </w:rPr>
        <w:t>In the current 5G procedure, a UE typically connects to a primary cell first and then only learns about additional secondary cells/carriers through dedicated RRC messages. In 6G, to reduce setup latency and overhead, the network should be able to inform the UE about multiple available carriers at the earliest stages of connection establishment or even beforehand.</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rPr>
        <w:t xml:space="preserve">There are two complementary parts to this proposal: </w:t>
      </w:r>
    </w:p>
    <w:p w14:paraId="156616C7">
      <w:pPr>
        <w:pStyle w:val="59"/>
        <w:keepNext w:val="0"/>
        <w:keepLines w:val="0"/>
        <w:pageBreakBefore w:val="0"/>
        <w:widowControl w:val="0"/>
        <w:numPr>
          <w:ilvl w:val="0"/>
          <w:numId w:val="10"/>
        </w:numPr>
        <w:kinsoku/>
        <w:wordWrap/>
        <w:overflowPunct/>
        <w:topLinePunct w:val="0"/>
        <w:autoSpaceDE/>
        <w:autoSpaceDN/>
        <w:bidi w:val="0"/>
        <w:adjustRightInd w:val="0"/>
        <w:snapToGrid w:val="0"/>
        <w:spacing w:line="288" w:lineRule="auto"/>
        <w:ind w:left="420" w:leftChars="0" w:hanging="420" w:firstLineChars="0"/>
        <w:textAlignment w:val="auto"/>
        <w:rPr>
          <w:rFonts w:hint="default" w:ascii="Times New Roman" w:hAnsi="Times New Roman" w:cs="Times New Roman"/>
        </w:rPr>
      </w:pPr>
      <w:r>
        <w:rPr>
          <w:rFonts w:hint="default" w:ascii="Times New Roman" w:hAnsi="Times New Roman" w:cs="Times New Roman"/>
          <w:b/>
          <w:bCs/>
        </w:rPr>
        <w:t>Broadcast-based configuration:</w:t>
      </w:r>
      <w:r>
        <w:rPr>
          <w:rFonts w:hint="default" w:ascii="Times New Roman" w:hAnsi="Times New Roman" w:cs="Times New Roman"/>
        </w:rPr>
        <w:t xml:space="preserve"> The network can broadcast information about multiple carriers in the system information (SI). </w:t>
      </w:r>
    </w:p>
    <w:p w14:paraId="5E3E10D2">
      <w:pPr>
        <w:pStyle w:val="59"/>
        <w:keepNext w:val="0"/>
        <w:keepLines w:val="0"/>
        <w:pageBreakBefore w:val="0"/>
        <w:widowControl w:val="0"/>
        <w:numPr>
          <w:ilvl w:val="0"/>
          <w:numId w:val="10"/>
        </w:numPr>
        <w:kinsoku/>
        <w:wordWrap/>
        <w:overflowPunct/>
        <w:topLinePunct w:val="0"/>
        <w:autoSpaceDE/>
        <w:autoSpaceDN/>
        <w:bidi w:val="0"/>
        <w:adjustRightInd w:val="0"/>
        <w:snapToGrid w:val="0"/>
        <w:spacing w:line="288" w:lineRule="auto"/>
        <w:ind w:left="420" w:leftChars="0" w:hanging="420" w:firstLineChars="0"/>
        <w:textAlignment w:val="auto"/>
        <w:rPr>
          <w:rFonts w:hint="default" w:ascii="Times New Roman" w:hAnsi="Times New Roman" w:cs="Times New Roman"/>
          <w:b/>
          <w:bCs/>
          <w:i/>
          <w:iCs/>
          <w:szCs w:val="21"/>
          <w:lang w:val="en-US" w:eastAsia="zh-CN"/>
        </w:rPr>
      </w:pPr>
      <w:r>
        <w:rPr>
          <w:rFonts w:hint="default" w:ascii="Times New Roman" w:hAnsi="Times New Roman" w:cs="Times New Roman"/>
          <w:b/>
          <w:bCs/>
        </w:rPr>
        <w:t>RRC connection setup configuration:</w:t>
      </w:r>
      <w:r>
        <w:rPr>
          <w:rFonts w:hint="default" w:ascii="Times New Roman" w:hAnsi="Times New Roman" w:cs="Times New Roman"/>
        </w:rPr>
        <w:t xml:space="preserve"> During the RRC connection establishment (for instance, in the RRC Setup or RRC Reconfiguration message that sets up the connection), the gNB may directly configure the UE with one or more secondary carriers in addition to the primary. </w:t>
      </w:r>
    </w:p>
    <w:p w14:paraId="65F756CB">
      <w:pPr>
        <w:keepNext/>
        <w:keepLines/>
        <w:widowControl/>
        <w:numPr>
          <w:ilvl w:val="2"/>
          <w:numId w:val="9"/>
        </w:numPr>
        <w:autoSpaceDE w:val="0"/>
        <w:autoSpaceDN w:val="0"/>
        <w:adjustRightInd w:val="0"/>
        <w:snapToGrid w:val="0"/>
        <w:spacing w:before="180" w:after="120" w:line="240" w:lineRule="auto"/>
        <w:ind w:left="900" w:leftChars="0" w:hanging="900" w:firstLineChars="0"/>
        <w:jc w:val="both"/>
        <w:outlineLvl w:val="2"/>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On-Demand Carrier Activation Mechanism</w:t>
      </w:r>
    </w:p>
    <w:p w14:paraId="7111009B">
      <w:pPr>
        <w:pStyle w:val="59"/>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An on-demand secondary carrier activation/deactivation mechanism is also included in this framework. When a UE is configured with one or more secondary carriers (in addition to an anchor carrier), these secondary carriers can be activated or deactivated </w:t>
      </w:r>
      <w:r>
        <w:rPr>
          <w:rFonts w:hint="default" w:ascii="Times New Roman" w:hAnsi="Times New Roman" w:cs="Times New Roman"/>
          <w:b w:val="0"/>
          <w:bCs w:val="0"/>
          <w:lang w:val="en-US" w:eastAsia="zh-CN"/>
        </w:rPr>
        <w:t>for the spectrum aggregation</w:t>
      </w:r>
      <w:r>
        <w:rPr>
          <w:rFonts w:hint="eastAsia" w:ascii="Times New Roman" w:hAnsi="Times New Roman" w:cs="Times New Roman"/>
          <w:b w:val="0"/>
          <w:bCs w:val="0"/>
          <w:lang w:val="en-US" w:eastAsia="zh-CN"/>
        </w:rPr>
        <w:t xml:space="preserve"> on-demand based on the UE’s service needs or network conditions. If the UE operating on the anchor carrier requires a higher data rate (or if the network anticipates additional capacity needs), the UE may request activation of a specific secondary carrier </w:t>
      </w:r>
      <w:r>
        <w:rPr>
          <w:rFonts w:hint="default" w:ascii="Times New Roman" w:hAnsi="Times New Roman" w:cs="Times New Roman"/>
          <w:b w:val="0"/>
          <w:bCs w:val="0"/>
          <w:lang w:val="en-US" w:eastAsia="zh-CN"/>
        </w:rPr>
        <w:t>for the spectrum aggregation</w:t>
      </w:r>
      <w:r>
        <w:rPr>
          <w:rFonts w:hint="eastAsia" w:ascii="Times New Roman" w:hAnsi="Times New Roman" w:cs="Times New Roman"/>
          <w:b w:val="0"/>
          <w:bCs w:val="0"/>
          <w:lang w:val="en-US" w:eastAsia="zh-CN"/>
        </w:rPr>
        <w:t>. Analogous to the 5G secondary cell (SCell) activation procedure, the gNB can dynamically activate or deactivate one or more configured secondary carriers using a MAC CE. This on-demand approach ensures that secondary carriers are not activated unless they are required, thereby avoiding UE</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unnecessary receiving/transmissions and saving energy.</w:t>
      </w:r>
    </w:p>
    <w:p w14:paraId="7462254E">
      <w:pPr>
        <w:pStyle w:val="13"/>
        <w:rPr>
          <w:rFonts w:hint="default"/>
          <w:lang w:val="en-US" w:eastAsia="zh-CN"/>
        </w:rPr>
      </w:pPr>
    </w:p>
    <w:p w14:paraId="3122602A">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Support s</w:t>
      </w:r>
      <w:r>
        <w:rPr>
          <w:rFonts w:hint="default" w:ascii="Times New Roman" w:hAnsi="Times New Roman" w:cs="Times New Roman"/>
          <w:b/>
          <w:bCs/>
          <w:i/>
          <w:iCs/>
          <w:lang w:val="en-US" w:eastAsia="zh-CN"/>
        </w:rPr>
        <w:t>pectrum aggregation for RRC connected mode</w:t>
      </w:r>
      <w:r>
        <w:rPr>
          <w:rFonts w:hint="eastAsia" w:ascii="Times New Roman" w:hAnsi="Times New Roman" w:cs="Times New Roman"/>
          <w:b/>
          <w:bCs/>
          <w:i/>
          <w:iCs/>
          <w:lang w:val="en-US" w:eastAsia="zh-CN"/>
        </w:rPr>
        <w:t xml:space="preserve"> with the following functionalities:</w:t>
      </w:r>
    </w:p>
    <w:p w14:paraId="2F70807C">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spectrum aggregation in RRC Connected mode with a UE-specific primary carrier.</w:t>
      </w:r>
    </w:p>
    <w:p w14:paraId="1C48BD06">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early configuration of secondary carriers for spectrum aggregation</w:t>
      </w:r>
      <w:r>
        <w:rPr>
          <w:rFonts w:hint="eastAsia" w:ascii="Times New Roman" w:hAnsi="Times New Roman" w:cs="Times New Roman"/>
          <w:b/>
          <w:bCs/>
          <w:i/>
          <w:iCs/>
          <w:lang w:val="en-US" w:eastAsia="zh-CN"/>
        </w:rPr>
        <w:t>.</w:t>
      </w:r>
    </w:p>
    <w:p w14:paraId="552FCF5C">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lang w:val="en-US" w:eastAsia="zh-CN"/>
        </w:rPr>
        <w:t>Support an on-demand secondary carrier activation mechanism.</w:t>
      </w:r>
    </w:p>
    <w:p w14:paraId="559B2A46">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rPr>
      </w:pP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keepNext w:val="0"/>
        <w:keepLines w:val="0"/>
        <w:pageBreakBefore w:val="0"/>
        <w:widowControl w:val="0"/>
        <w:kinsoku/>
        <w:wordWrap/>
        <w:overflowPunct/>
        <w:topLinePunct w:val="0"/>
        <w:autoSpaceDE/>
        <w:autoSpaceDN/>
        <w:bidi w:val="0"/>
        <w:adjustRightInd/>
        <w:snapToGrid/>
        <w:spacing w:after="120" w:afterLines="50" w:line="288" w:lineRule="auto"/>
        <w:textAlignment w:val="auto"/>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eastAsia" w:ascii="Times New Roman" w:hAnsi="Times New Roman" w:cs="Times New Roman"/>
          <w:szCs w:val="21"/>
          <w:lang w:val="en-US" w:eastAsia="zh-CN"/>
        </w:rPr>
        <w:t>following aspect of spectrum aggregation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29782627">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rPr>
      </w:pPr>
      <w:r>
        <w:rPr>
          <w:rFonts w:hint="eastAsia" w:ascii="Times New Roman" w:hAnsi="Times New Roman" w:cs="Times New Roman"/>
          <w:b/>
          <w:bCs/>
          <w:i/>
          <w:iCs/>
          <w:lang w:val="en-US" w:eastAsia="zh-CN"/>
        </w:rPr>
        <w:t xml:space="preserve">Proposal 1: </w:t>
      </w:r>
      <w:r>
        <w:rPr>
          <w:rFonts w:hint="default" w:ascii="Times New Roman" w:hAnsi="Times New Roman" w:cs="Times New Roman"/>
          <w:b/>
          <w:bCs/>
          <w:i/>
          <w:iCs/>
        </w:rPr>
        <w:t>Support RRC Idle mode multicarrier operation</w:t>
      </w:r>
      <w:r>
        <w:rPr>
          <w:rFonts w:hint="eastAsia" w:ascii="Times New Roman" w:hAnsi="Times New Roman" w:cs="Times New Roman"/>
          <w:b/>
          <w:bCs/>
          <w:i/>
          <w:iCs/>
          <w:lang w:val="en-US" w:eastAsia="zh-CN"/>
        </w:rPr>
        <w:t xml:space="preserve"> with</w:t>
      </w:r>
      <w:r>
        <w:rPr>
          <w:rFonts w:hint="default" w:ascii="Times New Roman" w:hAnsi="Times New Roman" w:cs="Times New Roman"/>
          <w:b/>
          <w:bCs/>
          <w:i/>
          <w:iCs/>
        </w:rPr>
        <w:t xml:space="preserve"> an anchor/secondary carrier framework</w:t>
      </w:r>
      <w:r>
        <w:rPr>
          <w:rFonts w:hint="eastAsia" w:ascii="Times New Roman" w:hAnsi="Times New Roman" w:cs="Times New Roman"/>
          <w:b/>
          <w:bCs/>
          <w:i/>
          <w:iCs/>
          <w:lang w:val="en-US" w:eastAsia="zh-CN"/>
        </w:rPr>
        <w:t xml:space="preserve"> as following</w:t>
      </w:r>
      <w:r>
        <w:rPr>
          <w:rFonts w:hint="default" w:ascii="Times New Roman" w:hAnsi="Times New Roman" w:cs="Times New Roman"/>
          <w:b/>
          <w:bCs/>
          <w:i/>
          <w:iCs/>
        </w:rPr>
        <w:t>:</w:t>
      </w:r>
    </w:p>
    <w:p w14:paraId="44DF64B4">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Only a designated anchor carrier transmits common signals</w:t>
      </w:r>
      <w:r>
        <w:rPr>
          <w:rFonts w:hint="eastAsia" w:ascii="Times New Roman" w:hAnsi="Times New Roman" w:cs="Times New Roman"/>
          <w:b/>
          <w:bCs/>
          <w:i/>
          <w:iCs/>
          <w:lang w:val="en-US" w:eastAsia="zh-CN"/>
        </w:rPr>
        <w:t xml:space="preserve"> </w:t>
      </w:r>
      <w:r>
        <w:rPr>
          <w:rFonts w:hint="default" w:ascii="Times New Roman" w:hAnsi="Times New Roman" w:cs="Times New Roman"/>
          <w:b/>
          <w:bCs/>
          <w:i/>
          <w:iCs/>
        </w:rPr>
        <w:t xml:space="preserve">and system information. </w:t>
      </w:r>
    </w:p>
    <w:p w14:paraId="17773BAD">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UEs perform initial cell search on the anchor carrier and camp on it to receive system information. Based on the received information, a UE may either remain camped on the anchor or switch its idle camping to one of the specified secondary carriers for paging reception.</w:t>
      </w:r>
    </w:p>
    <w:p w14:paraId="74A08938">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rPr>
      </w:pPr>
      <w:r>
        <w:rPr>
          <w:rFonts w:hint="default" w:ascii="Times New Roman" w:hAnsi="Times New Roman" w:cs="Times New Roman"/>
          <w:b/>
          <w:bCs/>
          <w:i/>
          <w:iCs/>
        </w:rPr>
        <w:t>The network sends paging messages to an idle UE on the carrier where that UE is camped</w:t>
      </w:r>
      <w:r>
        <w:rPr>
          <w:rFonts w:hint="eastAsia" w:ascii="Times New Roman" w:hAnsi="Times New Roman" w:cs="Times New Roman"/>
          <w:b/>
          <w:bCs/>
          <w:i/>
          <w:iCs/>
          <w:lang w:val="en-US" w:eastAsia="zh-CN"/>
        </w:rPr>
        <w:t xml:space="preserve"> to</w:t>
      </w:r>
      <w:r>
        <w:rPr>
          <w:rFonts w:hint="default" w:ascii="Times New Roman" w:hAnsi="Times New Roman" w:cs="Times New Roman"/>
          <w:b/>
          <w:bCs/>
          <w:i/>
          <w:iCs/>
        </w:rPr>
        <w:t xml:space="preserve"> reduces paging message overhead acros</w:t>
      </w:r>
      <w:bookmarkStart w:id="1" w:name="_GoBack"/>
      <w:bookmarkEnd w:id="1"/>
      <w:r>
        <w:rPr>
          <w:rFonts w:hint="default" w:ascii="Times New Roman" w:hAnsi="Times New Roman" w:cs="Times New Roman"/>
          <w:b/>
          <w:bCs/>
          <w:i/>
          <w:iCs/>
        </w:rPr>
        <w:t>s the network.</w:t>
      </w:r>
    </w:p>
    <w:p w14:paraId="2460F123">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rPr>
      </w:pPr>
      <w:r>
        <w:rPr>
          <w:rFonts w:hint="default" w:ascii="Times New Roman" w:hAnsi="Times New Roman" w:cs="Times New Roman"/>
          <w:b/>
          <w:bCs/>
          <w:i/>
          <w:iCs/>
        </w:rPr>
        <w:t>UEs may initiate the random access procedure on a carrier other than the anchor enabling load balancing of RACH attempts across multiple carriers.</w:t>
      </w:r>
    </w:p>
    <w:p w14:paraId="362E8833">
      <w:pPr>
        <w:pStyle w:val="61"/>
        <w:keepNext w:val="0"/>
        <w:keepLines w:val="0"/>
        <w:pageBreakBefore w:val="0"/>
        <w:widowControl w:val="0"/>
        <w:numPr>
          <w:ilvl w:val="0"/>
          <w:numId w:val="0"/>
        </w:numPr>
        <w:kinsoku/>
        <w:wordWrap/>
        <w:overflowPunct/>
        <w:topLinePunct w:val="0"/>
        <w:autoSpaceDE/>
        <w:autoSpaceDN/>
        <w:bidi w:val="0"/>
        <w:spacing w:line="288"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Support s</w:t>
      </w:r>
      <w:r>
        <w:rPr>
          <w:rFonts w:hint="default" w:ascii="Times New Roman" w:hAnsi="Times New Roman" w:cs="Times New Roman"/>
          <w:b/>
          <w:bCs/>
          <w:i/>
          <w:iCs/>
          <w:lang w:val="en-US" w:eastAsia="zh-CN"/>
        </w:rPr>
        <w:t>pectrum aggregation for RRC connected mode</w:t>
      </w:r>
      <w:r>
        <w:rPr>
          <w:rFonts w:hint="eastAsia" w:ascii="Times New Roman" w:hAnsi="Times New Roman" w:cs="Times New Roman"/>
          <w:b/>
          <w:bCs/>
          <w:i/>
          <w:iCs/>
          <w:lang w:val="en-US" w:eastAsia="zh-CN"/>
        </w:rPr>
        <w:t xml:space="preserve"> with the following functionalities</w:t>
      </w:r>
    </w:p>
    <w:p w14:paraId="24EAB693">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spectrum aggregation in RRC Connected mode with a UE-specific primary carrier.</w:t>
      </w:r>
    </w:p>
    <w:p w14:paraId="467ECFEF">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lang w:val="en-US" w:eastAsia="zh-CN"/>
        </w:rPr>
      </w:pPr>
      <w:r>
        <w:rPr>
          <w:rFonts w:hint="default" w:ascii="Times New Roman" w:hAnsi="Times New Roman" w:cs="Times New Roman"/>
          <w:b/>
          <w:bCs/>
          <w:i/>
          <w:iCs/>
        </w:rPr>
        <w:t>Support early configuration of secondary carriers for spectrum aggregation</w:t>
      </w:r>
      <w:r>
        <w:rPr>
          <w:rFonts w:hint="eastAsia" w:ascii="Times New Roman" w:hAnsi="Times New Roman" w:cs="Times New Roman"/>
          <w:b/>
          <w:bCs/>
          <w:i/>
          <w:iCs/>
          <w:lang w:val="en-US" w:eastAsia="zh-CN"/>
        </w:rPr>
        <w:t>.</w:t>
      </w:r>
    </w:p>
    <w:p w14:paraId="01C4562B">
      <w:pPr>
        <w:pStyle w:val="61"/>
        <w:keepNext w:val="0"/>
        <w:keepLines w:val="0"/>
        <w:pageBreakBefore w:val="0"/>
        <w:widowControl w:val="0"/>
        <w:numPr>
          <w:ilvl w:val="0"/>
          <w:numId w:val="8"/>
        </w:numPr>
        <w:kinsoku/>
        <w:wordWrap/>
        <w:overflowPunct/>
        <w:topLinePunct w:val="0"/>
        <w:autoSpaceDE/>
        <w:autoSpaceDN/>
        <w:bidi w:val="0"/>
        <w:spacing w:line="288" w:lineRule="auto"/>
        <w:ind w:left="840" w:leftChars="0" w:hanging="420" w:firstLineChars="0"/>
        <w:textAlignment w:val="auto"/>
        <w:rPr>
          <w:rFonts w:hint="default" w:ascii="Times New Roman" w:hAnsi="Times New Roman" w:cs="Times New Roman"/>
          <w:b/>
          <w:bCs/>
          <w:i/>
          <w:iCs/>
          <w:szCs w:val="21"/>
          <w:lang w:val="en-US" w:eastAsia="zh-CN"/>
        </w:rPr>
      </w:pPr>
      <w:r>
        <w:rPr>
          <w:rFonts w:hint="default" w:ascii="Times New Roman" w:hAnsi="Times New Roman" w:cs="Times New Roman"/>
          <w:b/>
          <w:bCs/>
          <w:i/>
          <w:iCs/>
          <w:lang w:val="en-US" w:eastAsia="zh-CN"/>
        </w:rPr>
        <w:t>Support an on-demand secondary carrier activation mechanism.</w:t>
      </w:r>
      <w:r>
        <w:rPr>
          <w:rFonts w:hint="default" w:ascii="Times New Roman" w:hAnsi="Times New Roman" w:cs="Times New Roman"/>
          <w:b/>
          <w:bCs/>
          <w:i/>
          <w:iCs/>
          <w:szCs w:val="21"/>
          <w:lang w:val="en-US" w:eastAsia="zh-CN"/>
        </w:rPr>
        <w:t xml:space="preserve"> </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11"/>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11"/>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11"/>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261B1"/>
    <w:multiLevelType w:val="singleLevel"/>
    <w:tmpl w:val="9B5261B1"/>
    <w:lvl w:ilvl="0" w:tentative="0">
      <w:start w:val="1"/>
      <w:numFmt w:val="bullet"/>
      <w:lvlText w:val=""/>
      <w:lvlJc w:val="left"/>
      <w:pPr>
        <w:tabs>
          <w:tab w:val="left" w:pos="420"/>
        </w:tabs>
        <w:ind w:left="840" w:hanging="420"/>
      </w:pPr>
      <w:rPr>
        <w:rFonts w:hint="default" w:ascii="Wingdings" w:hAnsi="Wingdings"/>
      </w:rPr>
    </w:lvl>
  </w:abstractNum>
  <w:abstractNum w:abstractNumId="1">
    <w:nsid w:val="FB802201"/>
    <w:multiLevelType w:val="multilevel"/>
    <w:tmpl w:val="FB802201"/>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2">
    <w:nsid w:val="FEF349CF"/>
    <w:multiLevelType w:val="multilevel"/>
    <w:tmpl w:val="FEF349CF"/>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3">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4">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5">
    <w:nsid w:val="2524ED4D"/>
    <w:multiLevelType w:val="singleLevel"/>
    <w:tmpl w:val="2524ED4D"/>
    <w:lvl w:ilvl="0" w:tentative="0">
      <w:start w:val="1"/>
      <w:numFmt w:val="bullet"/>
      <w:lvlText w:val=""/>
      <w:lvlJc w:val="left"/>
      <w:pPr>
        <w:ind w:left="420" w:hanging="420"/>
      </w:pPr>
      <w:rPr>
        <w:rFonts w:hint="default" w:ascii="Wingdings" w:hAnsi="Wingdings"/>
      </w:rPr>
    </w:lvl>
  </w:abstractNum>
  <w:abstractNum w:abstractNumId="6">
    <w:nsid w:val="28F6C565"/>
    <w:multiLevelType w:val="multilevel"/>
    <w:tmpl w:val="28F6C565"/>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7">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8">
    <w:nsid w:val="524B7F58"/>
    <w:multiLevelType w:val="singleLevel"/>
    <w:tmpl w:val="524B7F58"/>
    <w:lvl w:ilvl="0" w:tentative="0">
      <w:start w:val="1"/>
      <w:numFmt w:val="decimal"/>
      <w:suff w:val="space"/>
      <w:lvlText w:val="%1."/>
      <w:lvlJc w:val="left"/>
    </w:lvl>
  </w:abstractNum>
  <w:abstractNum w:abstractNumId="9">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10">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6"/>
  </w:num>
  <w:num w:numId="2">
    <w:abstractNumId w:val="9"/>
  </w:num>
  <w:num w:numId="3">
    <w:abstractNumId w:val="7"/>
  </w:num>
  <w:num w:numId="4">
    <w:abstractNumId w:val="8"/>
  </w:num>
  <w:num w:numId="5">
    <w:abstractNumId w:val="10"/>
  </w:num>
  <w:num w:numId="6">
    <w:abstractNumId w:val="3"/>
  </w:num>
  <w:num w:numId="7">
    <w:abstractNumId w:val="2"/>
  </w:num>
  <w:num w:numId="8">
    <w:abstractNumId w:val="0"/>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4599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31591F"/>
    <w:rsid w:val="031B28AD"/>
    <w:rsid w:val="034877EC"/>
    <w:rsid w:val="034E4A60"/>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71D591B"/>
    <w:rsid w:val="072D40F1"/>
    <w:rsid w:val="074D2750"/>
    <w:rsid w:val="07522471"/>
    <w:rsid w:val="07FE2B1F"/>
    <w:rsid w:val="08B2294B"/>
    <w:rsid w:val="08FC1348"/>
    <w:rsid w:val="092A7ACA"/>
    <w:rsid w:val="09452F63"/>
    <w:rsid w:val="09680EB8"/>
    <w:rsid w:val="09ED2CA5"/>
    <w:rsid w:val="0A067E6E"/>
    <w:rsid w:val="0A481A1C"/>
    <w:rsid w:val="0AC7123A"/>
    <w:rsid w:val="0AE314B1"/>
    <w:rsid w:val="0AEC2FE8"/>
    <w:rsid w:val="0B260413"/>
    <w:rsid w:val="0B9C06D5"/>
    <w:rsid w:val="0BAD139F"/>
    <w:rsid w:val="0BB62E8D"/>
    <w:rsid w:val="0C110567"/>
    <w:rsid w:val="0C397531"/>
    <w:rsid w:val="0C470E4F"/>
    <w:rsid w:val="0C812E6D"/>
    <w:rsid w:val="0C9E047D"/>
    <w:rsid w:val="0D733868"/>
    <w:rsid w:val="0D9546F5"/>
    <w:rsid w:val="0DC46BFB"/>
    <w:rsid w:val="0DD51C7C"/>
    <w:rsid w:val="0DD65942"/>
    <w:rsid w:val="0DEA753C"/>
    <w:rsid w:val="0DF06AB6"/>
    <w:rsid w:val="0DF57134"/>
    <w:rsid w:val="0E4A6F14"/>
    <w:rsid w:val="0E540AE8"/>
    <w:rsid w:val="0E762255"/>
    <w:rsid w:val="0ED3362B"/>
    <w:rsid w:val="0EF50B08"/>
    <w:rsid w:val="0F491DCF"/>
    <w:rsid w:val="0F672DA8"/>
    <w:rsid w:val="0F6D5043"/>
    <w:rsid w:val="0F723A91"/>
    <w:rsid w:val="0F8B4E78"/>
    <w:rsid w:val="10924438"/>
    <w:rsid w:val="10E32902"/>
    <w:rsid w:val="1109680C"/>
    <w:rsid w:val="116F4196"/>
    <w:rsid w:val="118934A9"/>
    <w:rsid w:val="11DF6823"/>
    <w:rsid w:val="11FC4B10"/>
    <w:rsid w:val="121758CF"/>
    <w:rsid w:val="1282108C"/>
    <w:rsid w:val="12D167AA"/>
    <w:rsid w:val="130D0D24"/>
    <w:rsid w:val="13326CC5"/>
    <w:rsid w:val="13826402"/>
    <w:rsid w:val="1384217A"/>
    <w:rsid w:val="13A42136"/>
    <w:rsid w:val="14232166"/>
    <w:rsid w:val="14691B4B"/>
    <w:rsid w:val="14C710A8"/>
    <w:rsid w:val="14CD7B51"/>
    <w:rsid w:val="150B58AE"/>
    <w:rsid w:val="151A266A"/>
    <w:rsid w:val="154712A7"/>
    <w:rsid w:val="15CB5DD3"/>
    <w:rsid w:val="160067D9"/>
    <w:rsid w:val="160846A5"/>
    <w:rsid w:val="16161084"/>
    <w:rsid w:val="161A4308"/>
    <w:rsid w:val="163254BE"/>
    <w:rsid w:val="165F5FD9"/>
    <w:rsid w:val="16D13B64"/>
    <w:rsid w:val="16E04FC6"/>
    <w:rsid w:val="1725740C"/>
    <w:rsid w:val="17470EF1"/>
    <w:rsid w:val="1776514E"/>
    <w:rsid w:val="17932E8D"/>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B267FBB"/>
    <w:rsid w:val="1B692801"/>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20576"/>
    <w:rsid w:val="20085EE1"/>
    <w:rsid w:val="205F59D0"/>
    <w:rsid w:val="20931D81"/>
    <w:rsid w:val="20CE6D52"/>
    <w:rsid w:val="20E24984"/>
    <w:rsid w:val="20EF2BFD"/>
    <w:rsid w:val="219805DB"/>
    <w:rsid w:val="21AE2EDA"/>
    <w:rsid w:val="224551CB"/>
    <w:rsid w:val="229C5AE9"/>
    <w:rsid w:val="22FF7A6F"/>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2D759C"/>
    <w:rsid w:val="2944442E"/>
    <w:rsid w:val="297974EE"/>
    <w:rsid w:val="29991048"/>
    <w:rsid w:val="29B34A3B"/>
    <w:rsid w:val="29F01BD1"/>
    <w:rsid w:val="2A590434"/>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46822"/>
    <w:rsid w:val="2FCD67FF"/>
    <w:rsid w:val="301604B8"/>
    <w:rsid w:val="303B772F"/>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F46CC2"/>
    <w:rsid w:val="34F9242A"/>
    <w:rsid w:val="353A3B9A"/>
    <w:rsid w:val="353D648E"/>
    <w:rsid w:val="35584DBD"/>
    <w:rsid w:val="356B4AF0"/>
    <w:rsid w:val="35834C4F"/>
    <w:rsid w:val="35B5220F"/>
    <w:rsid w:val="35F033B2"/>
    <w:rsid w:val="36556989"/>
    <w:rsid w:val="365F25F1"/>
    <w:rsid w:val="36633A19"/>
    <w:rsid w:val="367B459C"/>
    <w:rsid w:val="36B02E3E"/>
    <w:rsid w:val="36CC7811"/>
    <w:rsid w:val="36DE12F2"/>
    <w:rsid w:val="37871C5F"/>
    <w:rsid w:val="37D83D53"/>
    <w:rsid w:val="37DA7D0B"/>
    <w:rsid w:val="37DF5322"/>
    <w:rsid w:val="38C14F85"/>
    <w:rsid w:val="38D95C84"/>
    <w:rsid w:val="395152B1"/>
    <w:rsid w:val="396B17C1"/>
    <w:rsid w:val="39C7397A"/>
    <w:rsid w:val="39C922D2"/>
    <w:rsid w:val="3A0E3D7F"/>
    <w:rsid w:val="3A1B148B"/>
    <w:rsid w:val="3AC96BFA"/>
    <w:rsid w:val="3B0B0E31"/>
    <w:rsid w:val="3B90705F"/>
    <w:rsid w:val="3BA42B0A"/>
    <w:rsid w:val="3C5E1386"/>
    <w:rsid w:val="3C6A376B"/>
    <w:rsid w:val="3C9C7C85"/>
    <w:rsid w:val="3CAD3871"/>
    <w:rsid w:val="3D0E6612"/>
    <w:rsid w:val="3D794C69"/>
    <w:rsid w:val="3DDD26FC"/>
    <w:rsid w:val="3E247F32"/>
    <w:rsid w:val="3E4252D9"/>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365619"/>
    <w:rsid w:val="42A539CE"/>
    <w:rsid w:val="42CC4813"/>
    <w:rsid w:val="434D4C01"/>
    <w:rsid w:val="435C04A2"/>
    <w:rsid w:val="43E11412"/>
    <w:rsid w:val="43FC748C"/>
    <w:rsid w:val="440525B4"/>
    <w:rsid w:val="44093E52"/>
    <w:rsid w:val="446F1C68"/>
    <w:rsid w:val="45264590"/>
    <w:rsid w:val="45961716"/>
    <w:rsid w:val="45A35BE1"/>
    <w:rsid w:val="460F14C8"/>
    <w:rsid w:val="46602F82"/>
    <w:rsid w:val="46C61D41"/>
    <w:rsid w:val="47150D60"/>
    <w:rsid w:val="471748B1"/>
    <w:rsid w:val="477E6B3A"/>
    <w:rsid w:val="47943CC6"/>
    <w:rsid w:val="47B42CE1"/>
    <w:rsid w:val="48053ACE"/>
    <w:rsid w:val="480A1F47"/>
    <w:rsid w:val="48147269"/>
    <w:rsid w:val="483D1D78"/>
    <w:rsid w:val="48517B76"/>
    <w:rsid w:val="487E765D"/>
    <w:rsid w:val="492522E2"/>
    <w:rsid w:val="49380D36"/>
    <w:rsid w:val="49600D82"/>
    <w:rsid w:val="49CE695A"/>
    <w:rsid w:val="4AAB6276"/>
    <w:rsid w:val="4AE66BEE"/>
    <w:rsid w:val="4AF131EF"/>
    <w:rsid w:val="4AF40C8C"/>
    <w:rsid w:val="4B407715"/>
    <w:rsid w:val="4BA83F51"/>
    <w:rsid w:val="4BBB7216"/>
    <w:rsid w:val="4C0A69B9"/>
    <w:rsid w:val="4C6A7458"/>
    <w:rsid w:val="4C813C70"/>
    <w:rsid w:val="4C84212F"/>
    <w:rsid w:val="4CA236C3"/>
    <w:rsid w:val="4D096C71"/>
    <w:rsid w:val="4D950505"/>
    <w:rsid w:val="4DA154D9"/>
    <w:rsid w:val="4DAB7D28"/>
    <w:rsid w:val="4E0D325F"/>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915B2"/>
    <w:rsid w:val="519A2708"/>
    <w:rsid w:val="51F103B2"/>
    <w:rsid w:val="520C50B4"/>
    <w:rsid w:val="521F0CE5"/>
    <w:rsid w:val="53185506"/>
    <w:rsid w:val="53697EDF"/>
    <w:rsid w:val="5371612B"/>
    <w:rsid w:val="53B51932"/>
    <w:rsid w:val="54A24E32"/>
    <w:rsid w:val="55807CEC"/>
    <w:rsid w:val="55F650BF"/>
    <w:rsid w:val="561B7217"/>
    <w:rsid w:val="56FD00CF"/>
    <w:rsid w:val="57027519"/>
    <w:rsid w:val="572629E8"/>
    <w:rsid w:val="575C092A"/>
    <w:rsid w:val="577E7095"/>
    <w:rsid w:val="578C2978"/>
    <w:rsid w:val="57A646D9"/>
    <w:rsid w:val="57DD1426"/>
    <w:rsid w:val="57EA584B"/>
    <w:rsid w:val="583F5B16"/>
    <w:rsid w:val="5877685D"/>
    <w:rsid w:val="589A1FD6"/>
    <w:rsid w:val="59394663"/>
    <w:rsid w:val="59975605"/>
    <w:rsid w:val="59AA78C5"/>
    <w:rsid w:val="59C3464B"/>
    <w:rsid w:val="59FD045D"/>
    <w:rsid w:val="5A177BA2"/>
    <w:rsid w:val="5A1F15C9"/>
    <w:rsid w:val="5A6F20DD"/>
    <w:rsid w:val="5ABF776A"/>
    <w:rsid w:val="5AF34ABD"/>
    <w:rsid w:val="5B1C5C72"/>
    <w:rsid w:val="5B404577"/>
    <w:rsid w:val="5B6A1223"/>
    <w:rsid w:val="5B73375B"/>
    <w:rsid w:val="5BDE576D"/>
    <w:rsid w:val="5C1E4010"/>
    <w:rsid w:val="5C844822"/>
    <w:rsid w:val="5CBB16CF"/>
    <w:rsid w:val="5CBC3D00"/>
    <w:rsid w:val="5CC46711"/>
    <w:rsid w:val="5D0A091D"/>
    <w:rsid w:val="5D105DFA"/>
    <w:rsid w:val="5D4930BA"/>
    <w:rsid w:val="5D770C37"/>
    <w:rsid w:val="5DF57F28"/>
    <w:rsid w:val="5DFB1C8A"/>
    <w:rsid w:val="5E24773B"/>
    <w:rsid w:val="5E3B3C08"/>
    <w:rsid w:val="5E800D5D"/>
    <w:rsid w:val="5EEA61D6"/>
    <w:rsid w:val="5EEC63F2"/>
    <w:rsid w:val="5EF01530"/>
    <w:rsid w:val="5F1576F7"/>
    <w:rsid w:val="5FA041B9"/>
    <w:rsid w:val="5FBE4D46"/>
    <w:rsid w:val="60997EB4"/>
    <w:rsid w:val="611963CD"/>
    <w:rsid w:val="616E573B"/>
    <w:rsid w:val="617C1A7E"/>
    <w:rsid w:val="61C80A51"/>
    <w:rsid w:val="62856B49"/>
    <w:rsid w:val="62B92A90"/>
    <w:rsid w:val="62E34874"/>
    <w:rsid w:val="62E8147A"/>
    <w:rsid w:val="630B132E"/>
    <w:rsid w:val="634A321E"/>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08408A"/>
    <w:rsid w:val="695F47F3"/>
    <w:rsid w:val="696A6892"/>
    <w:rsid w:val="69CA7330"/>
    <w:rsid w:val="69F148BD"/>
    <w:rsid w:val="6A3B5FBD"/>
    <w:rsid w:val="6A3D7B02"/>
    <w:rsid w:val="6A497336"/>
    <w:rsid w:val="6B3C6A30"/>
    <w:rsid w:val="6B8F25DF"/>
    <w:rsid w:val="6C7D4B2E"/>
    <w:rsid w:val="6CB06CB1"/>
    <w:rsid w:val="6CEB5ACA"/>
    <w:rsid w:val="6DBB3B60"/>
    <w:rsid w:val="6E6C7C05"/>
    <w:rsid w:val="6EFE1F56"/>
    <w:rsid w:val="6F130492"/>
    <w:rsid w:val="6F2B2544"/>
    <w:rsid w:val="6F4060E9"/>
    <w:rsid w:val="6F990EEE"/>
    <w:rsid w:val="706B5A59"/>
    <w:rsid w:val="707B0060"/>
    <w:rsid w:val="70A04FBC"/>
    <w:rsid w:val="70A46B2D"/>
    <w:rsid w:val="70BD3D49"/>
    <w:rsid w:val="710B095A"/>
    <w:rsid w:val="71D90A58"/>
    <w:rsid w:val="72041505"/>
    <w:rsid w:val="72317325"/>
    <w:rsid w:val="726E73F3"/>
    <w:rsid w:val="72872262"/>
    <w:rsid w:val="72A863A1"/>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660EF1"/>
    <w:rsid w:val="788A13BF"/>
    <w:rsid w:val="78A377B2"/>
    <w:rsid w:val="78D93F27"/>
    <w:rsid w:val="793A002E"/>
    <w:rsid w:val="79404F19"/>
    <w:rsid w:val="797C2D3C"/>
    <w:rsid w:val="79C35626"/>
    <w:rsid w:val="79E42D9A"/>
    <w:rsid w:val="7A314C2F"/>
    <w:rsid w:val="7A3727C0"/>
    <w:rsid w:val="7AAD7251"/>
    <w:rsid w:val="7ABC00E2"/>
    <w:rsid w:val="7B0074FE"/>
    <w:rsid w:val="7B061127"/>
    <w:rsid w:val="7B221A3E"/>
    <w:rsid w:val="7B503B8C"/>
    <w:rsid w:val="7B727157"/>
    <w:rsid w:val="7B8437E3"/>
    <w:rsid w:val="7BD64713"/>
    <w:rsid w:val="7BD80171"/>
    <w:rsid w:val="7BDB223D"/>
    <w:rsid w:val="7BED2287"/>
    <w:rsid w:val="7C081A90"/>
    <w:rsid w:val="7C0B3F04"/>
    <w:rsid w:val="7C2571BC"/>
    <w:rsid w:val="7C322B59"/>
    <w:rsid w:val="7C9E5DD3"/>
    <w:rsid w:val="7CA15039"/>
    <w:rsid w:val="7CC52305"/>
    <w:rsid w:val="7CD54AA1"/>
    <w:rsid w:val="7D240BEB"/>
    <w:rsid w:val="7D8D41BC"/>
    <w:rsid w:val="7E5E656D"/>
    <w:rsid w:val="7E6E42D6"/>
    <w:rsid w:val="7E894D3F"/>
    <w:rsid w:val="7EA146AC"/>
    <w:rsid w:val="7F166F47"/>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4"/>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9"/>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character" w:customStyle="1" w:styleId="29">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0">
    <w:name w:val="Doc-title"/>
    <w:basedOn w:val="1"/>
    <w:next w:val="31"/>
    <w:autoRedefine/>
    <w:qFormat/>
    <w:uiPriority w:val="0"/>
    <w:pPr>
      <w:spacing w:before="60"/>
      <w:ind w:left="1259" w:hanging="1259"/>
    </w:pPr>
  </w:style>
  <w:style w:type="paragraph" w:customStyle="1" w:styleId="31">
    <w:name w:val="Doc-text2"/>
    <w:basedOn w:val="1"/>
    <w:autoRedefine/>
    <w:qFormat/>
    <w:uiPriority w:val="0"/>
    <w:pPr>
      <w:tabs>
        <w:tab w:val="left" w:pos="1622"/>
      </w:tabs>
      <w:ind w:left="1622" w:hanging="363"/>
    </w:pPr>
  </w:style>
  <w:style w:type="character" w:customStyle="1" w:styleId="32">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1"/>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1">
    <w:name w:val="Compact"/>
    <w:basedOn w:val="13"/>
    <w:qFormat/>
    <w:uiPriority w:val="0"/>
    <w:pPr>
      <w:spacing w:before="36" w:after="36"/>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1930</Words>
  <Characters>10697</Characters>
  <Lines>52</Lines>
  <Paragraphs>14</Paragraphs>
  <TotalTime>2</TotalTime>
  <ScaleCrop>false</ScaleCrop>
  <LinksUpToDate>false</LinksUpToDate>
  <CharactersWithSpaces>12635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2026-01-30T03:15:57Z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A8EED370F6C24874A4C45B663B4A1374_13</vt:lpwstr>
  </property>
  <property fmtid="{D5CDD505-2E9C-101B-9397-08002B2CF9AE}" pid="4" name="KSOTemplateDocerSaveRecord">
    <vt:lpwstr>eyJoZGlkIjoiYTZkZWNlYTA0MDg2ZTc3NmRlNDJmOGU5YjFkMTIzYmYiLCJ1c2VySWQiOiI1MDMzMTQ0MjYifQ==</vt:lpwstr>
  </property>
</Properties>
</file>